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040"/>
      </w:tblGrid>
      <w:tr>
        <w:tc>
          <w:tcPr>
            <w:tcW w:type="dxa" w:w="10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/>
          </w:tcPr>
          <w:p>
            <w:r>
              <w:rPr>
                <w:sz w:val="8"/>
                <w:szCs w:val="8"/>
              </w:rPr>
              <w:t xml:space="preserve"> 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7030"/>
        <w:gridCol w:w="3010"/>
      </w:tblGrid>
      <w:tr>
        <w:tc>
          <w:tcPr>
            <w:tcW w:type="dxa" w:w="703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b/>
                <w:bCs/>
                <w:color w:val="09090B"/>
                <w:sz w:val="40"/>
                <w:szCs w:val="40"/>
              </w:rPr>
              <w:t xml:space="preserve">Your Business Name</w:t>
            </w:r>
          </w:p>
        </w:tc>
        <w:tc>
          <w:tcPr>
            <w:tcW w:type="dxa" w:w="301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40"/>
                <w:sz w:val="32"/>
                <w:szCs w:val="32"/>
              </w:rPr>
              <w:t xml:space="preserve">BILL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620"/>
        <w:gridCol w:w="3410"/>
        <w:gridCol w:w="3010"/>
      </w:tblGrid>
      <w:tr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From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Your name / business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Street address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City, State ZIP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email@yourbusiness.com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Tax / VAT ID (if any)</w:t>
            </w:r>
          </w:p>
        </w:tc>
        <w:tc>
          <w:tcPr>
            <w:tcW w:type="dxa" w:w="34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Billed to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Client company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Contact person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Client address or email</w:t>
            </w:r>
          </w:p>
        </w:tc>
        <w:tc>
          <w:tcPr>
            <w:tcW w:type="dxa" w:w="30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Invoice no.  </w:t>
            </w:r>
            <w:r>
              <w:rPr>
                <w:rFonts w:ascii="Calibri" w:cs="Calibri" w:eastAsia="Calibri" w:hAnsi="Calibri"/>
                <w:b/>
                <w:bCs/>
                <w:color w:val="09090B"/>
                <w:sz w:val="21"/>
                <w:szCs w:val="21"/>
              </w:rPr>
              <w:t xml:space="preserve">0001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Issued  </w:t>
            </w: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Jul 24, 2026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Due  </w:t>
            </w: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Aug 23, 2026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Terms  </w:t>
            </w: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Net-30</w:t>
            </w:r>
          </w:p>
        </w:tc>
      </w:tr>
    </w:tbl>
    <w:p>
      <w:pPr>
        <w:spacing w:after="2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5220"/>
        <w:gridCol w:w="1200"/>
        <w:gridCol w:w="1810"/>
        <w:gridCol w:w="181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Description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Qty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Rate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Amount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Homepage redesign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1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$1,800.00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$1,800.00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Landing pages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2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$300.00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$600.00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auto" w:w="100"/>
        <w:jc w:val="right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810"/>
        <w:gridCol w:w="1810"/>
      </w:tblGrid>
      <w:tr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Subtotal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$2,400.00</w:t>
            </w:r>
          </w:p>
        </w:tc>
      </w:tr>
      <w:tr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Tax (8%)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$192.00</w:t>
            </w:r>
          </w:p>
        </w:tc>
      </w:tr>
      <w:tr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TOTAL DUE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$2,592.00</w:t>
            </w:r>
          </w:p>
        </w:tc>
      </w:tr>
    </w:tbl>
    <w:p>
      <w:pPr>
        <w:spacing w:after="24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040"/>
      </w:tblGrid>
      <w:tr>
        <w:tc>
          <w:tcPr>
            <w:tcW w:type="dxa" w:w="10040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FAFAFA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Payment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Bank details, or a payment link: pay.example.com/invoice-0001</w:t>
            </w:r>
          </w:p>
          <w:p>
            <w:pPr>
              <w:spacing w:after="10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Notes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Thank you! Late payments accrue 1.5%/month after the due date.</w:t>
            </w:r>
          </w:p>
        </w:tc>
      </w:tr>
    </w:tbl>
    <w:p>
      <w:pPr>
        <w:spacing w:after="240"/>
      </w:pPr>
    </w:p>
    <w:p>
      <w:r>
        <w:rPr>
          <w:rFonts w:ascii="Calibri" w:cs="Calibri" w:eastAsia="Calibri" w:hAnsi="Calibri"/>
          <w:color w:val="52525B"/>
          <w:sz w:val="15"/>
          <w:szCs w:val="15"/>
        </w:rPr>
        <w:t xml:space="preserve">Free template from mailtoinvoice.com — or skip templates: forward the client's email, get back a payable invoice.</w:t>
      </w:r>
    </w:p>
    <w:sectPr>
      <w:pgSz w:w="11906" w:h="16838" w:orient="portrait"/>
      <w:pgMar w:top="8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9090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2026-07-25T01:19:23.630Z</dcterms:created>
  <dcterms:modified xsi:type="dcterms:W3CDTF">2026-07-25T01:19:23.630Z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